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 xml:space="preserve">II - Petycja Odrębna, o treści jak poniżej   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W trybie Ustawy o petycjach (Dz.U.2018.870 tj. z dnia 2018.05.10)  -  biorąc pod uwagę, wyżej przytoczone tezy NIK  -  można upewnić się że poruszana przez nas tematyka należy z pewnością do wartości wymagających szczególnej ochrony w imię dobra wspólnego, mieszczących się w zakresie zadań i kompetencji adresata petycji -</w:t>
      </w:r>
      <w:r>
        <w:rPr>
          <w:rFonts w:eastAsia="Times New Roman" w:cs="Arial" w:ascii="Arial" w:hAnsi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> wnosimy o:</w:t>
      </w: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II.1) Wykonanie rekonesansu w obszarze związanym z potrzebą planowania i koordynacji zadań związanych z promocją gminy i zachęcaniem potencjalnych inwestorów do inwestycji na terenie gminy - tak aby zadania własne wykonywane przez gminę w obszarze art. 7 ust. 1 pkt. 18 Ustawy o samorządzie gminnym - były wykonywane - zgodnie z sugestiami Najwyższej Izby Kontroli przytoczonymi przez Wnioskodawcę w powołanym na wstępnie protokole pokontrolny NIK.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>Przypominamy, że Wnioskodawca uzyskał dostęp do rzeczonego protokołu  - na stronach WWW - nik.gov.pl </w:t>
      </w: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o sygnaturze: LKI.430.003.2019 Nr ewid. 74/2019/P/19/072/LKI  - </w:t>
      </w:r>
      <w:r>
        <w:rPr>
          <w:rFonts w:eastAsia="Times New Roman" w:cs="Arial" w:ascii="Arial" w:hAnsi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> i są to dostępne w sieci Internet -  protokoły pokontrolne.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Oczywiście ABY NASZA PETYCJA NIE BYŁA W ŻADNYM RAZIE ŁĄCZONA Z PÓŹNIEJSZYM ewentualnym trybem zamówienia  nie musimy dodawać, że jesteśmy przekonani, iż ewentualne postępowanie dot wyłonienia Usługodawców będących beneficjentem - podnoszenia kwalifikacji urzędników -  będzie prowadzone z uwzględnieniem zasad uczciwej konkurencji - i o wyborze oferenta będą decydować jedynie  ustalone przez decydentów kryteria związane inter alia z aktualnym stanem prawnym, oraz racjonalnym wydatkowaniem środków publicznych.  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II.2)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§8) Wnosimy o zwrotne potwierdzenie otrzymania niniejszego wniosku w trybie §7  Rozporządzenia Prezesa Rady Ministrów z dnia 8 stycznia 2002 r. w sprawie organizacji przyjmowania i rozpatrywania s. i wniosków. (Dz. U. z dnia 22 styczna 2002 r. Nr 5, poz. 46) -  na adres druk-premium@samorzad.pl  lub promocja-gminy@samorzad.pl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§9) Wnosimy o to, aby odpowiedź w  przedmiocie powyższych pytań i petycji złożonych na mocy art. 63 Konstytucji RP - w związku z art.  241 KPA, została udzielona - zwrotnie na adres druk-premium@samorzad.pl promocja-gminy@samorzad.pl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Wniosek został sygnowany bezpiecznym, kwalifikowanym podpisem elektronicznym - stosownie do wytycznych Ustawy z dnia 5 września 2016 r. o usługach zaufania oraz identyfikacji elektronicznej (Dz.U.2016.1579 dnia 2016.09.29)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Wnioskodawca: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Osoba Prawna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Szulc-Efekt sp. z o. 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Prezes Zarządu - Adam Szulc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ul. Poligonowa 1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04-051 Warszawa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tel. 608-318-418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nr KRS: 0000059459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Kapitał Zakładowy: 222.000,00 pln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hyperlink r:id="rId2">
        <w:r>
          <w:rPr>
            <w:rFonts w:eastAsia="Times New Roman" w:cs="Arial" w:ascii="Arial" w:hAnsi="Arial"/>
            <w:color w:val="0000FF"/>
            <w:kern w:val="0"/>
            <w:sz w:val="16"/>
            <w:szCs w:val="16"/>
            <w:u w:val="single"/>
            <w:lang w:eastAsia="pl-PL"/>
            <w14:ligatures w14:val="none"/>
          </w:rPr>
          <w:t>www.gmina.pl</w:t>
        </w:r>
      </w:hyperlink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   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Stosownie do art. 4 ust. 2 pkt. 1 Ustawy o petycjach (Dz.U.2014.1195 z dnia 2014.09.05)  Imię i nazwisko osoby reprezentującej Podmiot wnoszący petycję ujawnione jest powyżej 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Stosownie do art. 4 ust. 2 pkt. 5 ww. Ustawy -  petycja niniejsza została złożona za pomocą środków komunikacji elektronicznej, sygnowana podpisem elektronicznym (który ujawnia dodatkowe dane), a adres ujawniony expressis verbis w petycji jest wskazanym zwrotnym adresem e-mail.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Zwyczajowy komentarz do Wniosku: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Adresat jest jednoznacznie identyfikowany - na podstawie - unikalnego adresu e-mail opublikowanego w Biuletynie Informacji Publicznej Jednostki i przypisanego do odnośnego Organu.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- należy w tym przypadku zawsze stosować art. 222 KPA.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Zatem pomimo formy zewnętrznej - Decydenci mogą/powinni dokonać własnej interpretacji  - zgodnie z brzmieniem art. 222 KPA.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Nazwa Wnioskodawca/Petycjodawca - jest dla uproszczenia stosowna jako synonim nazwy “Podmiot Wnoszący Petycję” - w rozumieniu art. 4 ust. 4 Ustawy o petycjach (Dz.U.2014.1195 z dnia 2014.09.05)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W Jednostkach Centralnych  - stan faktyczny jest o wiele lepszy. 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Jeżeli JST nie zgadza się z powołanymi przepisami prawa, prosimy aby zastosowano podstawy prawne akceptowane przez JST.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wnioskodawcę/petycjodawcę, etc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Adresatem Petycji - jest Organ ujawniony w komparycji.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Kierownik Jednostki Samorządu Terytorialnego (dalej JST)  - w rozumieniu art. 33 ust. 3 Ustawy o samorządzie gminnym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inter alia z parametrami ofert oraz ceną.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Oprócz dokumentu sygnowanego podpisem elektronicznym w formacie  pdf - dodatkowo - dla ułatwienia dekretacji u Adresata - wnioskodawca dodał pro forma niesygnowany dokument w formacie docx. Oba dokumenty  są  zgodne z kontentem powyższej wiadomości e-mail.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  <w:t>* - niepotrzebne - pominąć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16"/>
          <w:szCs w:val="16"/>
          <w:lang w:eastAsia="pl-PL"/>
          <w14:ligatures w14:val="none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9a312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a312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9a312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9a312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9a312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9a312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9a312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9a312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9a312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a312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9a312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9a312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9a312f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9a312f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9a312f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9a312f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9a312f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9a312f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9a312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9a312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9a312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a312f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9a312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a312f"/>
    <w:rPr>
      <w:b/>
      <w:bCs/>
      <w:smallCaps/>
      <w:color w:themeColor="accent1" w:themeShade="bf" w:val="0F4761"/>
      <w:spacing w:val="5"/>
    </w:rPr>
  </w:style>
  <w:style w:type="character" w:styleId="Apple-converted-space" w:customStyle="1">
    <w:name w:val="apple-converted-space"/>
    <w:basedOn w:val="DefaultParagraphFont"/>
    <w:qFormat/>
    <w:rsid w:val="009a312f"/>
    <w:rPr/>
  </w:style>
  <w:style w:type="character" w:styleId="Hyperlink">
    <w:name w:val="Hyperlink"/>
    <w:basedOn w:val="DefaultParagraphFont"/>
    <w:uiPriority w:val="99"/>
    <w:semiHidden/>
    <w:unhideWhenUsed/>
    <w:rsid w:val="009a312f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9a312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9a312f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9a312f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9a312f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a3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min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3</Pages>
  <Words>1699</Words>
  <Characters>10467</Characters>
  <CharactersWithSpaces>12222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2024-02-19T10:27:00Z</dcterms:created>
  <dc:creator>Adam Szulc</dc:creator>
  <dc:description/>
  <dc:language>pl-PL</dc:language>
  <cp:lastModifiedBy/>
  <dcterms:modified xsi:type="dcterms:W3CDTF">2024-02-28T11:27:57Z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