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9361E" w14:textId="03D83CE7" w:rsidR="00E94CA0" w:rsidRDefault="00E94CA0">
      <w:r>
        <w:rPr>
          <w:noProof/>
        </w:rPr>
        <w:drawing>
          <wp:inline distT="0" distB="0" distL="0" distR="0" wp14:anchorId="39477B63" wp14:editId="437C374F">
            <wp:extent cx="5760720" cy="3505200"/>
            <wp:effectExtent l="0" t="0" r="0" b="0"/>
            <wp:docPr id="14044726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505200"/>
                    </a:xfrm>
                    <a:prstGeom prst="rect">
                      <a:avLst/>
                    </a:prstGeom>
                    <a:noFill/>
                    <a:ln>
                      <a:noFill/>
                    </a:ln>
                  </pic:spPr>
                </pic:pic>
              </a:graphicData>
            </a:graphic>
          </wp:inline>
        </w:drawing>
      </w:r>
    </w:p>
    <w:p w14:paraId="4ED63DCE" w14:textId="77777777" w:rsidR="00A646F7" w:rsidRDefault="00A646F7" w:rsidP="00963C0C">
      <w:pPr>
        <w:pStyle w:val="Nagwek2"/>
        <w:rPr>
          <w:rFonts w:eastAsia="Times New Roman"/>
          <w:b/>
          <w:bCs/>
          <w:lang w:eastAsia="pl-PL"/>
        </w:rPr>
      </w:pPr>
    </w:p>
    <w:p w14:paraId="3F63A15A" w14:textId="0C0DF9F5" w:rsidR="00963C0C" w:rsidRPr="00963C0C" w:rsidRDefault="00963C0C" w:rsidP="00963C0C">
      <w:pPr>
        <w:pStyle w:val="Nagwek2"/>
        <w:rPr>
          <w:rFonts w:eastAsia="Times New Roman"/>
          <w:b/>
          <w:bCs/>
          <w:lang w:eastAsia="pl-PL"/>
        </w:rPr>
      </w:pPr>
      <w:r w:rsidRPr="00963C0C">
        <w:rPr>
          <w:rFonts w:eastAsia="Times New Roman"/>
          <w:b/>
          <w:bCs/>
          <w:lang w:eastAsia="pl-PL"/>
        </w:rPr>
        <w:t xml:space="preserve">Czym jest system kaucyjny? </w:t>
      </w:r>
    </w:p>
    <w:p w14:paraId="6C31CFC9" w14:textId="3A8F5071" w:rsidR="00963C0C" w:rsidRPr="00963C0C" w:rsidRDefault="00963C0C" w:rsidP="00963C0C">
      <w:pPr>
        <w:spacing w:before="100" w:beforeAutospacing="1" w:after="100" w:afterAutospacing="1" w:line="240" w:lineRule="auto"/>
        <w:jc w:val="both"/>
        <w:rPr>
          <w:rFonts w:asciiTheme="majorHAnsi" w:eastAsia="Times New Roman" w:hAnsiTheme="majorHAnsi" w:cstheme="majorHAnsi"/>
          <w:kern w:val="0"/>
          <w:sz w:val="24"/>
          <w:szCs w:val="24"/>
          <w:lang w:eastAsia="pl-PL"/>
          <w14:ligatures w14:val="none"/>
        </w:rPr>
      </w:pPr>
      <w:r w:rsidRPr="00963C0C">
        <w:rPr>
          <w:rFonts w:asciiTheme="majorHAnsi" w:eastAsia="Times New Roman" w:hAnsiTheme="majorHAnsi" w:cstheme="majorHAnsi"/>
          <w:b/>
          <w:bCs/>
          <w:kern w:val="0"/>
          <w:sz w:val="24"/>
          <w:szCs w:val="24"/>
          <w:lang w:eastAsia="pl-PL"/>
          <w14:ligatures w14:val="none"/>
        </w:rPr>
        <w:t>System kaucyjny</w:t>
      </w:r>
      <w:r w:rsidRPr="00963C0C">
        <w:rPr>
          <w:rFonts w:asciiTheme="majorHAnsi" w:eastAsia="Times New Roman" w:hAnsiTheme="majorHAnsi" w:cstheme="majorHAnsi"/>
          <w:kern w:val="0"/>
          <w:sz w:val="24"/>
          <w:szCs w:val="24"/>
          <w:lang w:eastAsia="pl-PL"/>
          <w14:ligatures w14:val="none"/>
        </w:rPr>
        <w:t xml:space="preserve"> to mechanizm promujący recykling i ponowne wykorzystanie opakowań. </w:t>
      </w:r>
      <w:r w:rsidRPr="00963C0C">
        <w:rPr>
          <w:rFonts w:asciiTheme="majorHAnsi" w:eastAsia="Times New Roman" w:hAnsiTheme="majorHAnsi" w:cstheme="majorHAnsi"/>
          <w:kern w:val="0"/>
          <w:sz w:val="24"/>
          <w:szCs w:val="24"/>
          <w:lang w:eastAsia="pl-PL"/>
          <w14:ligatures w14:val="none"/>
        </w:rPr>
        <w:t xml:space="preserve">                  </w:t>
      </w:r>
      <w:r w:rsidRPr="00963C0C">
        <w:rPr>
          <w:rFonts w:asciiTheme="majorHAnsi" w:eastAsia="Times New Roman" w:hAnsiTheme="majorHAnsi" w:cstheme="majorHAnsi"/>
          <w:kern w:val="0"/>
          <w:sz w:val="24"/>
          <w:szCs w:val="24"/>
          <w:lang w:eastAsia="pl-PL"/>
          <w14:ligatures w14:val="none"/>
        </w:rPr>
        <w:t xml:space="preserve">W Polsce zacznie on działać </w:t>
      </w:r>
      <w:r w:rsidRPr="00963C0C">
        <w:rPr>
          <w:rFonts w:asciiTheme="majorHAnsi" w:eastAsia="Times New Roman" w:hAnsiTheme="majorHAnsi" w:cstheme="majorHAnsi"/>
          <w:b/>
          <w:bCs/>
          <w:kern w:val="0"/>
          <w:sz w:val="24"/>
          <w:szCs w:val="24"/>
          <w:lang w:eastAsia="pl-PL"/>
          <w14:ligatures w14:val="none"/>
        </w:rPr>
        <w:t>od października 2025 roku.</w:t>
      </w:r>
      <w:r w:rsidRPr="00963C0C">
        <w:rPr>
          <w:rFonts w:asciiTheme="majorHAnsi" w:eastAsia="Times New Roman" w:hAnsiTheme="majorHAnsi" w:cstheme="majorHAnsi"/>
          <w:kern w:val="0"/>
          <w:sz w:val="24"/>
          <w:szCs w:val="24"/>
          <w:lang w:eastAsia="pl-PL"/>
          <w14:ligatures w14:val="none"/>
        </w:rPr>
        <w:t xml:space="preserve"> Wtedy w sklepach zaczną pojawiać się napoje w opakowaniach objętych systemem, a więc takie, na których znajdzie się wyraźny znak kaucji z jej kwotą. </w:t>
      </w:r>
    </w:p>
    <w:p w14:paraId="6B5255F6" w14:textId="77777777" w:rsidR="00963C0C" w:rsidRDefault="00963C0C" w:rsidP="00963C0C">
      <w:pPr>
        <w:spacing w:before="100" w:beforeAutospacing="1" w:after="100" w:afterAutospacing="1" w:line="240" w:lineRule="auto"/>
        <w:jc w:val="both"/>
        <w:rPr>
          <w:rFonts w:asciiTheme="majorHAnsi" w:eastAsia="Times New Roman" w:hAnsiTheme="majorHAnsi" w:cstheme="majorHAnsi"/>
          <w:kern w:val="0"/>
          <w:sz w:val="24"/>
          <w:szCs w:val="24"/>
          <w:lang w:eastAsia="pl-PL"/>
          <w14:ligatures w14:val="none"/>
        </w:rPr>
      </w:pPr>
    </w:p>
    <w:p w14:paraId="57EA1603" w14:textId="6C9B2A0A" w:rsidR="00963C0C" w:rsidRPr="00963C0C" w:rsidRDefault="00963C0C" w:rsidP="00963C0C">
      <w:pPr>
        <w:spacing w:before="100" w:beforeAutospacing="1" w:after="100" w:afterAutospacing="1" w:line="240" w:lineRule="auto"/>
        <w:jc w:val="both"/>
        <w:rPr>
          <w:rFonts w:asciiTheme="majorHAnsi" w:eastAsia="Times New Roman" w:hAnsiTheme="majorHAnsi" w:cstheme="majorHAnsi"/>
          <w:kern w:val="0"/>
          <w:sz w:val="24"/>
          <w:szCs w:val="24"/>
          <w:lang w:eastAsia="pl-PL"/>
          <w14:ligatures w14:val="none"/>
        </w:rPr>
      </w:pPr>
      <w:r>
        <w:rPr>
          <w:noProof/>
        </w:rPr>
        <w:drawing>
          <wp:inline distT="0" distB="0" distL="0" distR="0" wp14:anchorId="79ED60AE" wp14:editId="76BC29AA">
            <wp:extent cx="5760720" cy="2933700"/>
            <wp:effectExtent l="0" t="0" r="0" b="0"/>
            <wp:docPr id="134362462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933700"/>
                    </a:xfrm>
                    <a:prstGeom prst="rect">
                      <a:avLst/>
                    </a:prstGeom>
                    <a:noFill/>
                    <a:ln>
                      <a:noFill/>
                    </a:ln>
                  </pic:spPr>
                </pic:pic>
              </a:graphicData>
            </a:graphic>
          </wp:inline>
        </w:drawing>
      </w:r>
    </w:p>
    <w:p w14:paraId="357EB84C" w14:textId="77777777" w:rsidR="00963C0C" w:rsidRDefault="00963C0C" w:rsidP="00963C0C"/>
    <w:p w14:paraId="697F8D7F" w14:textId="1DB2AF08" w:rsidR="00963C0C" w:rsidRPr="00963C0C" w:rsidRDefault="00963C0C" w:rsidP="00963C0C">
      <w:pPr>
        <w:pStyle w:val="Nagwek2"/>
        <w:rPr>
          <w:b/>
          <w:bCs/>
        </w:rPr>
      </w:pPr>
      <w:r w:rsidRPr="00963C0C">
        <w:rPr>
          <w:b/>
          <w:bCs/>
        </w:rPr>
        <w:lastRenderedPageBreak/>
        <w:t xml:space="preserve">Systemem kaucyjnym objęte będą: </w:t>
      </w:r>
    </w:p>
    <w:p w14:paraId="4EA7A0CE" w14:textId="0FD0DEAC" w:rsidR="00A646F7" w:rsidRPr="00A646F7" w:rsidRDefault="00963C0C" w:rsidP="00A646F7">
      <w:p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Pr>
          <w:noProof/>
        </w:rPr>
        <w:drawing>
          <wp:inline distT="0" distB="0" distL="0" distR="0" wp14:anchorId="3F476F1F" wp14:editId="3BEEB371">
            <wp:extent cx="5743575" cy="5248275"/>
            <wp:effectExtent l="0" t="0" r="9525" b="9525"/>
            <wp:docPr id="67992150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3575" cy="5248275"/>
                    </a:xfrm>
                    <a:prstGeom prst="rect">
                      <a:avLst/>
                    </a:prstGeom>
                    <a:noFill/>
                    <a:ln>
                      <a:noFill/>
                    </a:ln>
                  </pic:spPr>
                </pic:pic>
              </a:graphicData>
            </a:graphic>
          </wp:inline>
        </w:drawing>
      </w:r>
    </w:p>
    <w:p w14:paraId="36A18467" w14:textId="2C7FD25D" w:rsidR="00E94CA0" w:rsidRDefault="00A646F7" w:rsidP="00A646F7">
      <w:pPr>
        <w:jc w:val="center"/>
      </w:pPr>
      <w:r>
        <w:rPr>
          <w:noProof/>
        </w:rPr>
        <w:drawing>
          <wp:inline distT="0" distB="0" distL="0" distR="0" wp14:anchorId="65436CB8" wp14:editId="1D4479B1">
            <wp:extent cx="4371975" cy="2952750"/>
            <wp:effectExtent l="0" t="0" r="9525" b="0"/>
            <wp:docPr id="137508776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1975" cy="2952750"/>
                    </a:xfrm>
                    <a:prstGeom prst="rect">
                      <a:avLst/>
                    </a:prstGeom>
                    <a:noFill/>
                    <a:ln>
                      <a:noFill/>
                    </a:ln>
                  </pic:spPr>
                </pic:pic>
              </a:graphicData>
            </a:graphic>
          </wp:inline>
        </w:drawing>
      </w:r>
    </w:p>
    <w:p w14:paraId="44C8B20C" w14:textId="77777777" w:rsidR="00E94CA0" w:rsidRDefault="00E94CA0"/>
    <w:p w14:paraId="207C5871" w14:textId="77777777" w:rsidR="00A646F7" w:rsidRPr="00963C0C" w:rsidRDefault="00A646F7" w:rsidP="00A646F7">
      <w:pPr>
        <w:pStyle w:val="Nagwek2"/>
        <w:rPr>
          <w:rFonts w:eastAsia="Times New Roman" w:cstheme="majorHAnsi"/>
          <w:b/>
          <w:bCs/>
          <w:lang w:eastAsia="pl-PL"/>
        </w:rPr>
      </w:pPr>
      <w:r w:rsidRPr="00963C0C">
        <w:rPr>
          <w:rFonts w:eastAsia="Times New Roman" w:cstheme="majorHAnsi"/>
          <w:b/>
          <w:bCs/>
          <w:lang w:eastAsia="pl-PL"/>
        </w:rPr>
        <w:lastRenderedPageBreak/>
        <w:t xml:space="preserve">Oznakowanie systemu kaucyjnego </w:t>
      </w:r>
    </w:p>
    <w:p w14:paraId="5D59B8B9" w14:textId="77777777" w:rsidR="00A646F7" w:rsidRDefault="00A646F7" w:rsidP="00A646F7">
      <w:pPr>
        <w:spacing w:before="100" w:beforeAutospacing="1" w:after="100" w:afterAutospacing="1" w:line="240" w:lineRule="auto"/>
        <w:jc w:val="both"/>
        <w:rPr>
          <w:rFonts w:asciiTheme="majorHAnsi" w:eastAsia="Times New Roman" w:hAnsiTheme="majorHAnsi" w:cstheme="majorHAnsi"/>
          <w:kern w:val="0"/>
          <w:sz w:val="24"/>
          <w:szCs w:val="24"/>
          <w:lang w:eastAsia="pl-PL"/>
          <w14:ligatures w14:val="none"/>
        </w:rPr>
      </w:pPr>
      <w:r w:rsidRPr="00963C0C">
        <w:rPr>
          <w:rFonts w:asciiTheme="majorHAnsi" w:eastAsia="Times New Roman" w:hAnsiTheme="majorHAnsi" w:cstheme="majorHAnsi"/>
          <w:kern w:val="0"/>
          <w:sz w:val="24"/>
          <w:szCs w:val="24"/>
          <w:lang w:eastAsia="pl-PL"/>
          <w14:ligatures w14:val="none"/>
        </w:rPr>
        <w:t xml:space="preserve">Przedsiębiorcy wprowadzający napoje w opakowaniach objętych systemem zobowiązani są do umieszczania na tych opakowaniach </w:t>
      </w:r>
      <w:hyperlink r:id="rId9" w:history="1">
        <w:r w:rsidRPr="00963C0C">
          <w:rPr>
            <w:rFonts w:asciiTheme="majorHAnsi" w:eastAsia="Times New Roman" w:hAnsiTheme="majorHAnsi" w:cstheme="majorHAnsi"/>
            <w:color w:val="2F5496" w:themeColor="accent1" w:themeShade="BF"/>
            <w:kern w:val="0"/>
            <w:sz w:val="24"/>
            <w:szCs w:val="24"/>
            <w:u w:val="single"/>
            <w:lang w:eastAsia="pl-PL"/>
            <w14:ligatures w14:val="none"/>
          </w:rPr>
          <w:t>oznakowania wskazującego na objęcie opakowania systemem kaucyjnym</w:t>
        </w:r>
      </w:hyperlink>
      <w:r w:rsidRPr="00963C0C">
        <w:rPr>
          <w:rFonts w:asciiTheme="majorHAnsi" w:eastAsia="Times New Roman" w:hAnsiTheme="majorHAnsi" w:cstheme="majorHAnsi"/>
          <w:kern w:val="0"/>
          <w:sz w:val="24"/>
          <w:szCs w:val="24"/>
          <w:lang w:eastAsia="pl-PL"/>
          <w14:ligatures w14:val="none"/>
        </w:rPr>
        <w:t xml:space="preserve"> i określającego wysokość kaucji.</w:t>
      </w:r>
    </w:p>
    <w:p w14:paraId="074E22BB" w14:textId="66FCCB78" w:rsidR="00E94CA0" w:rsidRPr="00E94CA0" w:rsidRDefault="00E94CA0" w:rsidP="00A646F7">
      <w:pPr>
        <w:pStyle w:val="Nagwek2"/>
        <w:rPr>
          <w:b/>
          <w:bCs/>
        </w:rPr>
      </w:pPr>
      <w:r w:rsidRPr="00E94CA0">
        <w:rPr>
          <w:b/>
          <w:bCs/>
        </w:rPr>
        <w:t>Oznakowanie opakowań w systemie kaucyjnym</w:t>
      </w:r>
    </w:p>
    <w:p w14:paraId="4EC1E9F4" w14:textId="77777777" w:rsidR="00E94CA0" w:rsidRDefault="00E94CA0" w:rsidP="00E94CA0">
      <w:pPr>
        <w:jc w:val="center"/>
        <w:rPr>
          <w:lang w:eastAsia="pl-PL"/>
        </w:rPr>
      </w:pPr>
    </w:p>
    <w:p w14:paraId="3A0CDFCE" w14:textId="5B9719B4" w:rsidR="00E94CA0" w:rsidRPr="00E94CA0" w:rsidRDefault="00E94CA0" w:rsidP="00E94CA0">
      <w:pPr>
        <w:jc w:val="center"/>
        <w:rPr>
          <w:lang w:eastAsia="pl-PL"/>
        </w:rPr>
      </w:pPr>
      <w:r>
        <w:rPr>
          <w:noProof/>
        </w:rPr>
        <w:drawing>
          <wp:inline distT="0" distB="0" distL="0" distR="0" wp14:anchorId="064C096E" wp14:editId="574BC5D5">
            <wp:extent cx="4010025" cy="2762250"/>
            <wp:effectExtent l="0" t="0" r="9525" b="0"/>
            <wp:docPr id="24269059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0025" cy="2762250"/>
                    </a:xfrm>
                    <a:prstGeom prst="rect">
                      <a:avLst/>
                    </a:prstGeom>
                    <a:noFill/>
                    <a:ln>
                      <a:noFill/>
                    </a:ln>
                  </pic:spPr>
                </pic:pic>
              </a:graphicData>
            </a:graphic>
          </wp:inline>
        </w:drawing>
      </w:r>
    </w:p>
    <w:p w14:paraId="179DFF7A" w14:textId="77777777" w:rsidR="00E94CA0" w:rsidRDefault="00E94CA0"/>
    <w:p w14:paraId="5D6E4C6D" w14:textId="77777777" w:rsidR="00CA5906" w:rsidRDefault="00E94CA0" w:rsidP="00CA5906">
      <w:pPr>
        <w:spacing w:before="100" w:beforeAutospacing="1" w:after="100" w:afterAutospacing="1" w:line="240" w:lineRule="auto"/>
        <w:jc w:val="both"/>
        <w:rPr>
          <w:rFonts w:asciiTheme="majorHAnsi" w:eastAsia="Times New Roman" w:hAnsiTheme="majorHAnsi" w:cstheme="majorHAnsi"/>
          <w:b/>
          <w:bCs/>
          <w:kern w:val="0"/>
          <w:sz w:val="24"/>
          <w:szCs w:val="24"/>
          <w:lang w:eastAsia="pl-PL"/>
          <w14:ligatures w14:val="none"/>
        </w:rPr>
      </w:pPr>
      <w:r w:rsidRPr="00E94CA0">
        <w:rPr>
          <w:rFonts w:asciiTheme="majorHAnsi" w:eastAsia="Times New Roman" w:hAnsiTheme="majorHAnsi" w:cstheme="majorHAnsi"/>
          <w:b/>
          <w:bCs/>
          <w:kern w:val="0"/>
          <w:sz w:val="24"/>
          <w:szCs w:val="24"/>
          <w:lang w:eastAsia="pl-PL"/>
          <w14:ligatures w14:val="none"/>
        </w:rPr>
        <w:t>Zgodnie z przepisami ustawy kaucja może zostać pobrana i zwrócona wyłącznie za opakowania oznaczone logo systemu kaucyjnego.</w:t>
      </w:r>
    </w:p>
    <w:p w14:paraId="735A6A15" w14:textId="40A38D3E" w:rsidR="00E94CA0" w:rsidRPr="00CA5906" w:rsidRDefault="00E94CA0" w:rsidP="00CA5906">
      <w:pPr>
        <w:pStyle w:val="Nagwek2"/>
        <w:rPr>
          <w:rFonts w:eastAsia="Times New Roman"/>
          <w:b/>
          <w:bCs/>
          <w:kern w:val="0"/>
          <w:lang w:eastAsia="pl-PL"/>
          <w14:ligatures w14:val="none"/>
        </w:rPr>
      </w:pPr>
      <w:r w:rsidRPr="00CA5906">
        <w:rPr>
          <w:rFonts w:eastAsia="Times New Roman"/>
          <w:b/>
          <w:bCs/>
          <w:lang w:eastAsia="pl-PL"/>
        </w:rPr>
        <w:t xml:space="preserve">Opakowania bez oznakowania nie będą </w:t>
      </w:r>
      <w:r w:rsidRPr="00CA5906">
        <w:rPr>
          <w:rFonts w:eastAsia="Times New Roman"/>
          <w:b/>
          <w:bCs/>
          <w:lang w:eastAsia="pl-PL"/>
        </w:rPr>
        <w:t>objęte</w:t>
      </w:r>
      <w:r w:rsidRPr="00CA5906">
        <w:rPr>
          <w:rFonts w:eastAsia="Times New Roman"/>
          <w:b/>
          <w:bCs/>
          <w:lang w:eastAsia="pl-PL"/>
        </w:rPr>
        <w:t xml:space="preserve"> zwrotem kaucji</w:t>
      </w:r>
    </w:p>
    <w:p w14:paraId="6EA496F8" w14:textId="77777777" w:rsidR="00E94CA0" w:rsidRPr="00E94CA0" w:rsidRDefault="00E94CA0" w:rsidP="00E94CA0">
      <w:pPr>
        <w:spacing w:before="100" w:beforeAutospacing="1" w:after="100" w:afterAutospacing="1" w:line="240" w:lineRule="auto"/>
        <w:jc w:val="both"/>
        <w:rPr>
          <w:rFonts w:asciiTheme="majorHAnsi" w:eastAsia="Times New Roman" w:hAnsiTheme="majorHAnsi" w:cstheme="majorHAnsi"/>
          <w:kern w:val="0"/>
          <w:sz w:val="24"/>
          <w:szCs w:val="24"/>
          <w:lang w:eastAsia="pl-PL"/>
          <w14:ligatures w14:val="none"/>
        </w:rPr>
      </w:pPr>
      <w:r w:rsidRPr="00E94CA0">
        <w:rPr>
          <w:rFonts w:asciiTheme="majorHAnsi" w:eastAsia="Times New Roman" w:hAnsiTheme="majorHAnsi" w:cstheme="majorHAnsi"/>
          <w:kern w:val="0"/>
          <w:sz w:val="24"/>
          <w:szCs w:val="24"/>
          <w:lang w:eastAsia="pl-PL"/>
          <w14:ligatures w14:val="none"/>
        </w:rPr>
        <w:t>Za opakowania bez oznakowania nie będzie można otrzymać zwrotu kaucji. Na rynku będą produkty, które zostały wprowadzone przed przystąpieniem przedsiębiorców do systemu kaucyjnego. Nie będą więc miały właściwego oznakowania. Za te produkty nie będzie pobierana kaucja oraz nie będzie możliwe otrzymanie zwrotu kaucji. </w:t>
      </w:r>
    </w:p>
    <w:p w14:paraId="50C97062" w14:textId="10F16DC0" w:rsidR="00CA5906" w:rsidRDefault="00E94CA0" w:rsidP="00E94CA0">
      <w:pPr>
        <w:spacing w:before="100" w:beforeAutospacing="1" w:after="100" w:afterAutospacing="1" w:line="240" w:lineRule="auto"/>
        <w:jc w:val="both"/>
        <w:rPr>
          <w:rFonts w:asciiTheme="majorHAnsi" w:eastAsia="Times New Roman" w:hAnsiTheme="majorHAnsi" w:cstheme="majorHAnsi"/>
          <w:kern w:val="0"/>
          <w:sz w:val="24"/>
          <w:szCs w:val="24"/>
          <w:lang w:eastAsia="pl-PL"/>
          <w14:ligatures w14:val="none"/>
        </w:rPr>
      </w:pPr>
      <w:r w:rsidRPr="00E94CA0">
        <w:rPr>
          <w:rFonts w:asciiTheme="majorHAnsi" w:eastAsia="Times New Roman" w:hAnsiTheme="majorHAnsi" w:cstheme="majorHAnsi"/>
          <w:kern w:val="0"/>
          <w:sz w:val="24"/>
          <w:szCs w:val="24"/>
          <w:lang w:eastAsia="pl-PL"/>
          <w14:ligatures w14:val="none"/>
        </w:rPr>
        <w:t>Podobna sytuacja pojawi się tuż po przystąpieniu danego wprowadzającego do systemu kaucyjnego. Przedsiębiorca będzie miał zapasy magazynowe produktów bez logo systemu. Ustawa przewiduje również taką okoliczność. Produkty, które zostały wprowadzone do obrotu w okresie 3 miesięcy od dnia przystąpienia do systemu kaucyjnego, nie później jednak niż do dnia 31 grudnia 2025 r., które nie posiadają logo systemu kaucyjnego, mogą być wykorzystywane do momentu ich zużycia, zwrotu lub wyczerpania zapasów.</w:t>
      </w:r>
    </w:p>
    <w:p w14:paraId="7E1E7882" w14:textId="77777777" w:rsidR="00A646F7" w:rsidRPr="00CA5906" w:rsidRDefault="00A646F7" w:rsidP="00E94CA0">
      <w:pPr>
        <w:spacing w:before="100" w:beforeAutospacing="1" w:after="100" w:afterAutospacing="1" w:line="240" w:lineRule="auto"/>
        <w:jc w:val="both"/>
        <w:rPr>
          <w:rFonts w:asciiTheme="majorHAnsi" w:eastAsia="Times New Roman" w:hAnsiTheme="majorHAnsi" w:cstheme="majorHAnsi"/>
          <w:kern w:val="0"/>
          <w:sz w:val="24"/>
          <w:szCs w:val="24"/>
          <w:lang w:eastAsia="pl-PL"/>
          <w14:ligatures w14:val="none"/>
        </w:rPr>
      </w:pPr>
    </w:p>
    <w:p w14:paraId="51DFB4A0" w14:textId="0DED0E7C" w:rsidR="00E94CA0" w:rsidRDefault="00E94CA0" w:rsidP="00A646F7">
      <w:pPr>
        <w:spacing w:before="100" w:beforeAutospacing="1" w:after="100" w:afterAutospacing="1" w:line="240" w:lineRule="auto"/>
        <w:jc w:val="center"/>
        <w:rPr>
          <w:rFonts w:ascii="Times New Roman" w:eastAsia="Times New Roman" w:hAnsi="Times New Roman" w:cs="Times New Roman"/>
          <w:kern w:val="0"/>
          <w:sz w:val="24"/>
          <w:szCs w:val="24"/>
          <w:lang w:eastAsia="pl-PL"/>
          <w14:ligatures w14:val="none"/>
        </w:rPr>
      </w:pPr>
      <w:r>
        <w:rPr>
          <w:noProof/>
        </w:rPr>
        <w:drawing>
          <wp:inline distT="0" distB="0" distL="0" distR="0" wp14:anchorId="515BE300" wp14:editId="6A577668">
            <wp:extent cx="5200650" cy="657225"/>
            <wp:effectExtent l="0" t="0" r="0" b="9525"/>
            <wp:docPr id="958881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657225"/>
                    </a:xfrm>
                    <a:prstGeom prst="rect">
                      <a:avLst/>
                    </a:prstGeom>
                    <a:noFill/>
                    <a:ln>
                      <a:noFill/>
                    </a:ln>
                  </pic:spPr>
                </pic:pic>
              </a:graphicData>
            </a:graphic>
          </wp:inline>
        </w:drawing>
      </w:r>
    </w:p>
    <w:p w14:paraId="079827A5" w14:textId="77777777" w:rsidR="00CA5906" w:rsidRPr="00CA5906" w:rsidRDefault="00E94CA0" w:rsidP="00CA5906">
      <w:pPr>
        <w:pStyle w:val="Nagwek2"/>
        <w:rPr>
          <w:b/>
          <w:bCs/>
          <w:lang w:eastAsia="pl-PL"/>
        </w:rPr>
      </w:pPr>
      <w:r w:rsidRPr="00CA5906">
        <w:rPr>
          <w:rFonts w:eastAsia="Times New Roman"/>
          <w:b/>
          <w:bCs/>
          <w:lang w:eastAsia="pl-PL"/>
        </w:rPr>
        <w:lastRenderedPageBreak/>
        <w:t xml:space="preserve">Logotyp systemu kaucyjnego jest określony w załączniku do ustawy. </w:t>
      </w:r>
    </w:p>
    <w:p w14:paraId="26FEAA1C" w14:textId="7187F392" w:rsidR="00E94CA0" w:rsidRPr="00CA5906" w:rsidRDefault="00E94CA0" w:rsidP="00CA5906">
      <w:pPr>
        <w:pStyle w:val="Nagwek2"/>
        <w:rPr>
          <w:rFonts w:eastAsia="Times New Roman" w:cstheme="majorHAnsi"/>
          <w:b/>
          <w:bCs/>
          <w:sz w:val="24"/>
          <w:szCs w:val="24"/>
          <w:lang w:eastAsia="pl-PL"/>
        </w:rPr>
      </w:pPr>
      <w:r w:rsidRPr="00CA5906">
        <w:rPr>
          <w:rFonts w:eastAsia="Times New Roman"/>
          <w:b/>
          <w:bCs/>
          <w:lang w:eastAsia="pl-PL"/>
        </w:rPr>
        <w:t>Powinien:</w:t>
      </w:r>
    </w:p>
    <w:p w14:paraId="12D0BC42" w14:textId="77777777" w:rsidR="00E94CA0" w:rsidRPr="00E94CA0" w:rsidRDefault="00E94CA0" w:rsidP="00E94CA0">
      <w:pPr>
        <w:numPr>
          <w:ilvl w:val="0"/>
          <w:numId w:val="1"/>
        </w:numPr>
        <w:spacing w:before="100" w:beforeAutospacing="1" w:after="100" w:afterAutospacing="1" w:line="240" w:lineRule="auto"/>
        <w:rPr>
          <w:rFonts w:asciiTheme="majorHAnsi" w:eastAsia="Times New Roman" w:hAnsiTheme="majorHAnsi" w:cstheme="majorHAnsi"/>
          <w:kern w:val="0"/>
          <w:sz w:val="24"/>
          <w:szCs w:val="24"/>
          <w:lang w:eastAsia="pl-PL"/>
          <w14:ligatures w14:val="none"/>
        </w:rPr>
      </w:pPr>
      <w:r w:rsidRPr="00E94CA0">
        <w:rPr>
          <w:rFonts w:asciiTheme="majorHAnsi" w:eastAsia="Times New Roman" w:hAnsiTheme="majorHAnsi" w:cstheme="majorHAnsi"/>
          <w:kern w:val="0"/>
          <w:sz w:val="24"/>
          <w:szCs w:val="24"/>
          <w:lang w:eastAsia="pl-PL"/>
          <w14:ligatures w14:val="none"/>
        </w:rPr>
        <w:t>być wyraźny, widoczny, czytelny i trwały;</w:t>
      </w:r>
    </w:p>
    <w:p w14:paraId="6CD2D969" w14:textId="77777777" w:rsidR="00E94CA0" w:rsidRPr="00E94CA0" w:rsidRDefault="00E94CA0" w:rsidP="00E94CA0">
      <w:pPr>
        <w:numPr>
          <w:ilvl w:val="0"/>
          <w:numId w:val="1"/>
        </w:numPr>
        <w:spacing w:before="100" w:beforeAutospacing="1" w:after="100" w:afterAutospacing="1" w:line="240" w:lineRule="auto"/>
        <w:rPr>
          <w:rFonts w:asciiTheme="majorHAnsi" w:eastAsia="Times New Roman" w:hAnsiTheme="majorHAnsi" w:cstheme="majorHAnsi"/>
          <w:kern w:val="0"/>
          <w:sz w:val="24"/>
          <w:szCs w:val="24"/>
          <w:lang w:eastAsia="pl-PL"/>
          <w14:ligatures w14:val="none"/>
        </w:rPr>
      </w:pPr>
      <w:r w:rsidRPr="00E94CA0">
        <w:rPr>
          <w:rFonts w:asciiTheme="majorHAnsi" w:eastAsia="Times New Roman" w:hAnsiTheme="majorHAnsi" w:cstheme="majorHAnsi"/>
          <w:kern w:val="0"/>
          <w:sz w:val="24"/>
          <w:szCs w:val="24"/>
          <w:lang w:eastAsia="pl-PL"/>
          <w14:ligatures w14:val="none"/>
        </w:rPr>
        <w:t>kontrastować z tłem;</w:t>
      </w:r>
    </w:p>
    <w:p w14:paraId="6FEB7C24" w14:textId="77777777" w:rsidR="00E94CA0" w:rsidRDefault="00E94CA0" w:rsidP="00E94CA0">
      <w:pPr>
        <w:numPr>
          <w:ilvl w:val="0"/>
          <w:numId w:val="1"/>
        </w:numPr>
        <w:spacing w:before="100" w:beforeAutospacing="1" w:after="100" w:afterAutospacing="1" w:line="240" w:lineRule="auto"/>
        <w:rPr>
          <w:rFonts w:asciiTheme="majorHAnsi" w:eastAsia="Times New Roman" w:hAnsiTheme="majorHAnsi" w:cstheme="majorHAnsi"/>
          <w:kern w:val="0"/>
          <w:sz w:val="24"/>
          <w:szCs w:val="24"/>
          <w:lang w:eastAsia="pl-PL"/>
          <w14:ligatures w14:val="none"/>
        </w:rPr>
      </w:pPr>
      <w:r w:rsidRPr="00E94CA0">
        <w:rPr>
          <w:rFonts w:asciiTheme="majorHAnsi" w:eastAsia="Times New Roman" w:hAnsiTheme="majorHAnsi" w:cstheme="majorHAnsi"/>
          <w:kern w:val="0"/>
          <w:sz w:val="24"/>
          <w:szCs w:val="24"/>
          <w:lang w:eastAsia="pl-PL"/>
          <w14:ligatures w14:val="none"/>
        </w:rPr>
        <w:t>znajdować się na etykiecie.</w:t>
      </w:r>
    </w:p>
    <w:p w14:paraId="5354646E" w14:textId="77777777" w:rsidR="00A646F7" w:rsidRPr="00CA5906" w:rsidRDefault="00A646F7" w:rsidP="00A646F7">
      <w:pPr>
        <w:spacing w:before="100" w:beforeAutospacing="1" w:after="100" w:afterAutospacing="1" w:line="240" w:lineRule="auto"/>
        <w:ind w:left="720"/>
        <w:rPr>
          <w:rFonts w:asciiTheme="majorHAnsi" w:eastAsia="Times New Roman" w:hAnsiTheme="majorHAnsi" w:cstheme="majorHAnsi"/>
          <w:kern w:val="0"/>
          <w:sz w:val="24"/>
          <w:szCs w:val="24"/>
          <w:lang w:eastAsia="pl-PL"/>
          <w14:ligatures w14:val="none"/>
        </w:rPr>
      </w:pPr>
    </w:p>
    <w:tbl>
      <w:tblPr>
        <w:tblStyle w:val="Tabela-Siatka"/>
        <w:tblW w:w="0" w:type="auto"/>
        <w:tblLook w:val="04A0" w:firstRow="1" w:lastRow="0" w:firstColumn="1" w:lastColumn="0" w:noHBand="0" w:noVBand="1"/>
      </w:tblPr>
      <w:tblGrid>
        <w:gridCol w:w="9062"/>
      </w:tblGrid>
      <w:tr w:rsidR="00E94CA0" w:rsidRPr="00CA5906" w14:paraId="36DF8FFE" w14:textId="77777777" w:rsidTr="00E94CA0">
        <w:tc>
          <w:tcPr>
            <w:tcW w:w="9062" w:type="dxa"/>
          </w:tcPr>
          <w:p w14:paraId="7546C424" w14:textId="69C38CF7" w:rsidR="00E94CA0" w:rsidRPr="00CA5906" w:rsidRDefault="00E94CA0" w:rsidP="00E94CA0">
            <w:pPr>
              <w:spacing w:before="100" w:beforeAutospacing="1" w:after="100" w:afterAutospacing="1"/>
              <w:rPr>
                <w:rFonts w:asciiTheme="majorHAnsi" w:eastAsia="Times New Roman" w:hAnsiTheme="majorHAnsi" w:cstheme="majorHAnsi"/>
                <w:kern w:val="0"/>
                <w:sz w:val="24"/>
                <w:szCs w:val="24"/>
                <w:lang w:eastAsia="pl-PL"/>
                <w14:ligatures w14:val="none"/>
              </w:rPr>
            </w:pPr>
            <w:r w:rsidRPr="00CA5906">
              <w:rPr>
                <w:rFonts w:asciiTheme="majorHAnsi" w:hAnsiTheme="majorHAnsi" w:cstheme="majorHAnsi"/>
                <w:sz w:val="24"/>
                <w:szCs w:val="24"/>
              </w:rPr>
              <w:t>Ustawa z dnia 13 czerwca 2013 r. o gospodarce opakowaniami i odpadami opakowaniowymi (Dz. U. z 2024 r. poz. 927, z późn. zm.)</w:t>
            </w:r>
          </w:p>
        </w:tc>
      </w:tr>
    </w:tbl>
    <w:p w14:paraId="2EED2CD3" w14:textId="77777777" w:rsidR="00E94CA0" w:rsidRPr="00E94CA0" w:rsidRDefault="00E94CA0" w:rsidP="00E94CA0">
      <w:p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p>
    <w:p w14:paraId="407B35C3" w14:textId="665D4830" w:rsidR="00E94CA0" w:rsidRDefault="00CA5906">
      <w:r>
        <w:rPr>
          <w:noProof/>
        </w:rPr>
        <w:drawing>
          <wp:inline distT="0" distB="0" distL="0" distR="0" wp14:anchorId="262E71A5" wp14:editId="72BED6D7">
            <wp:extent cx="5760720" cy="2884170"/>
            <wp:effectExtent l="0" t="0" r="0" b="0"/>
            <wp:docPr id="197269429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84170"/>
                    </a:xfrm>
                    <a:prstGeom prst="rect">
                      <a:avLst/>
                    </a:prstGeom>
                    <a:noFill/>
                    <a:ln>
                      <a:noFill/>
                    </a:ln>
                  </pic:spPr>
                </pic:pic>
              </a:graphicData>
            </a:graphic>
          </wp:inline>
        </w:drawing>
      </w:r>
    </w:p>
    <w:p w14:paraId="1613BF84" w14:textId="26CC1345" w:rsidR="00CA5906" w:rsidRDefault="00CA5906" w:rsidP="00CA5906">
      <w:pPr>
        <w:jc w:val="both"/>
        <w:rPr>
          <w:rFonts w:asciiTheme="majorHAnsi" w:hAnsiTheme="majorHAnsi" w:cstheme="majorHAnsi"/>
        </w:rPr>
      </w:pPr>
      <w:r w:rsidRPr="00CA5906">
        <w:rPr>
          <w:rFonts w:asciiTheme="majorHAnsi" w:hAnsiTheme="majorHAnsi" w:cstheme="majorHAnsi"/>
        </w:rPr>
        <w:t xml:space="preserve">Wprowadzone nowelizacją ustawy kaucyjnej zmiany mają na celu doprecyzowanie przepisów dotyczących wydawania, cofania i zmieniania zezwolenia na prowadzenie systemu kaucyjnego. Nowelizacja uwzględnia również postulaty branży dotyczące m.in. podążania kaucji za opakowaniem </w:t>
      </w:r>
      <w:r w:rsidR="00A646F7">
        <w:rPr>
          <w:rFonts w:asciiTheme="majorHAnsi" w:hAnsiTheme="majorHAnsi" w:cstheme="majorHAnsi"/>
        </w:rPr>
        <w:t xml:space="preserve">                     </w:t>
      </w:r>
      <w:r w:rsidRPr="00CA5906">
        <w:rPr>
          <w:rFonts w:asciiTheme="majorHAnsi" w:hAnsiTheme="majorHAnsi" w:cstheme="majorHAnsi"/>
        </w:rPr>
        <w:t>w całym łańcuchu sprzedaży, wyłączenie opakowań po produktach mlecznych czy wprowadzenia zharmonizowanego systemu oznakowania.</w:t>
      </w:r>
    </w:p>
    <w:p w14:paraId="33792A95" w14:textId="77777777" w:rsidR="00CA5906" w:rsidRDefault="00CA5906" w:rsidP="00CA5906">
      <w:pPr>
        <w:jc w:val="both"/>
        <w:rPr>
          <w:rFonts w:asciiTheme="majorHAnsi" w:hAnsiTheme="majorHAnsi" w:cstheme="majorHAnsi"/>
        </w:rPr>
      </w:pPr>
    </w:p>
    <w:p w14:paraId="60BD71F1" w14:textId="12517039" w:rsidR="00CA5906" w:rsidRDefault="00CA5906" w:rsidP="00CA5906">
      <w:pPr>
        <w:jc w:val="both"/>
        <w:rPr>
          <w:rFonts w:asciiTheme="majorHAnsi" w:hAnsiTheme="majorHAnsi" w:cstheme="majorHAnsi"/>
        </w:rPr>
      </w:pPr>
      <w:r>
        <w:rPr>
          <w:noProof/>
        </w:rPr>
        <w:drawing>
          <wp:inline distT="0" distB="0" distL="0" distR="0" wp14:anchorId="5F526EF5" wp14:editId="0EB650A2">
            <wp:extent cx="5760720" cy="2190750"/>
            <wp:effectExtent l="0" t="0" r="0" b="0"/>
            <wp:docPr id="169887058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190750"/>
                    </a:xfrm>
                    <a:prstGeom prst="rect">
                      <a:avLst/>
                    </a:prstGeom>
                    <a:noFill/>
                    <a:ln>
                      <a:noFill/>
                    </a:ln>
                  </pic:spPr>
                </pic:pic>
              </a:graphicData>
            </a:graphic>
          </wp:inline>
        </w:drawing>
      </w:r>
    </w:p>
    <w:p w14:paraId="55223753" w14:textId="77777777" w:rsidR="00CA5906" w:rsidRDefault="00CA5906" w:rsidP="00CA5906">
      <w:pPr>
        <w:jc w:val="both"/>
        <w:rPr>
          <w:rFonts w:asciiTheme="majorHAnsi" w:hAnsiTheme="majorHAnsi" w:cstheme="majorHAnsi"/>
        </w:rPr>
      </w:pPr>
    </w:p>
    <w:p w14:paraId="58B62A2D" w14:textId="152ED490" w:rsidR="00CA5906" w:rsidRDefault="00CA5906" w:rsidP="00CA5906">
      <w:pPr>
        <w:jc w:val="both"/>
        <w:rPr>
          <w:rFonts w:asciiTheme="majorHAnsi" w:hAnsiTheme="majorHAnsi" w:cstheme="majorHAnsi"/>
        </w:rPr>
      </w:pPr>
      <w:r>
        <w:rPr>
          <w:noProof/>
        </w:rPr>
        <w:drawing>
          <wp:inline distT="0" distB="0" distL="0" distR="0" wp14:anchorId="3B2124A4" wp14:editId="3E5DD29D">
            <wp:extent cx="5760720" cy="5067300"/>
            <wp:effectExtent l="0" t="0" r="0" b="0"/>
            <wp:docPr id="65065436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067300"/>
                    </a:xfrm>
                    <a:prstGeom prst="rect">
                      <a:avLst/>
                    </a:prstGeom>
                    <a:noFill/>
                    <a:ln>
                      <a:noFill/>
                    </a:ln>
                  </pic:spPr>
                </pic:pic>
              </a:graphicData>
            </a:graphic>
          </wp:inline>
        </w:drawing>
      </w:r>
    </w:p>
    <w:p w14:paraId="48EAA06E" w14:textId="77777777" w:rsidR="00CA5906" w:rsidRDefault="00CA5906" w:rsidP="00CA5906">
      <w:pPr>
        <w:jc w:val="both"/>
        <w:rPr>
          <w:rFonts w:asciiTheme="majorHAnsi" w:hAnsiTheme="majorHAnsi" w:cstheme="majorHAnsi"/>
        </w:rPr>
      </w:pPr>
    </w:p>
    <w:p w14:paraId="2A75435F" w14:textId="0E7A6BD4" w:rsidR="00CA5906" w:rsidRDefault="00CA5906" w:rsidP="00CA5906">
      <w:pPr>
        <w:jc w:val="both"/>
        <w:rPr>
          <w:rFonts w:asciiTheme="majorHAnsi" w:hAnsiTheme="majorHAnsi" w:cstheme="majorHAnsi"/>
        </w:rPr>
      </w:pPr>
      <w:r>
        <w:rPr>
          <w:noProof/>
        </w:rPr>
        <w:drawing>
          <wp:inline distT="0" distB="0" distL="0" distR="0" wp14:anchorId="070D19C1" wp14:editId="3548B3A6">
            <wp:extent cx="5876925" cy="3451860"/>
            <wp:effectExtent l="0" t="0" r="9525" b="0"/>
            <wp:docPr id="126864247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3451860"/>
                    </a:xfrm>
                    <a:prstGeom prst="rect">
                      <a:avLst/>
                    </a:prstGeom>
                    <a:noFill/>
                    <a:ln>
                      <a:noFill/>
                    </a:ln>
                  </pic:spPr>
                </pic:pic>
              </a:graphicData>
            </a:graphic>
          </wp:inline>
        </w:drawing>
      </w:r>
    </w:p>
    <w:p w14:paraId="1FC403F2" w14:textId="77777777" w:rsidR="00CA5906" w:rsidRDefault="00CA5906" w:rsidP="00CA5906">
      <w:pPr>
        <w:jc w:val="both"/>
        <w:rPr>
          <w:rFonts w:asciiTheme="majorHAnsi" w:hAnsiTheme="majorHAnsi" w:cstheme="majorHAnsi"/>
        </w:rPr>
      </w:pPr>
    </w:p>
    <w:p w14:paraId="258D19EA" w14:textId="6C50C1FE" w:rsidR="00CA5906" w:rsidRDefault="00CA5906" w:rsidP="00CA5906">
      <w:pPr>
        <w:jc w:val="both"/>
        <w:rPr>
          <w:rFonts w:asciiTheme="majorHAnsi" w:hAnsiTheme="majorHAnsi" w:cstheme="majorHAnsi"/>
        </w:rPr>
      </w:pPr>
      <w:r>
        <w:rPr>
          <w:noProof/>
        </w:rPr>
        <w:drawing>
          <wp:inline distT="0" distB="0" distL="0" distR="0" wp14:anchorId="04131A4A" wp14:editId="01A3133F">
            <wp:extent cx="5760720" cy="5775960"/>
            <wp:effectExtent l="0" t="0" r="0" b="0"/>
            <wp:docPr id="39436160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775960"/>
                    </a:xfrm>
                    <a:prstGeom prst="rect">
                      <a:avLst/>
                    </a:prstGeom>
                    <a:noFill/>
                    <a:ln>
                      <a:noFill/>
                    </a:ln>
                  </pic:spPr>
                </pic:pic>
              </a:graphicData>
            </a:graphic>
          </wp:inline>
        </w:drawing>
      </w:r>
    </w:p>
    <w:p w14:paraId="4705F80A" w14:textId="77777777" w:rsidR="00CA5906" w:rsidRDefault="00CA5906" w:rsidP="00CA5906">
      <w:pPr>
        <w:jc w:val="both"/>
        <w:rPr>
          <w:rFonts w:asciiTheme="majorHAnsi" w:hAnsiTheme="majorHAnsi" w:cstheme="majorHAnsi"/>
        </w:rPr>
      </w:pPr>
    </w:p>
    <w:p w14:paraId="181B6E9D" w14:textId="5B93E1AE" w:rsidR="00CA5906" w:rsidRPr="00CA5906" w:rsidRDefault="00CA5906" w:rsidP="00CA5906">
      <w:pPr>
        <w:jc w:val="both"/>
        <w:rPr>
          <w:rFonts w:asciiTheme="majorHAnsi" w:hAnsiTheme="majorHAnsi" w:cstheme="majorHAnsi"/>
        </w:rPr>
      </w:pPr>
      <w:r>
        <w:rPr>
          <w:noProof/>
        </w:rPr>
        <w:drawing>
          <wp:inline distT="0" distB="0" distL="0" distR="0" wp14:anchorId="0EE1A617" wp14:editId="4BD2CAB7">
            <wp:extent cx="5760720" cy="2783840"/>
            <wp:effectExtent l="0" t="0" r="0" b="0"/>
            <wp:docPr id="45233018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783840"/>
                    </a:xfrm>
                    <a:prstGeom prst="rect">
                      <a:avLst/>
                    </a:prstGeom>
                    <a:noFill/>
                    <a:ln>
                      <a:noFill/>
                    </a:ln>
                  </pic:spPr>
                </pic:pic>
              </a:graphicData>
            </a:graphic>
          </wp:inline>
        </w:drawing>
      </w:r>
    </w:p>
    <w:sectPr w:rsidR="00CA5906" w:rsidRPr="00CA5906" w:rsidSect="00963C0C">
      <w:pgSz w:w="11906" w:h="16838"/>
      <w:pgMar w:top="1276"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E42A39"/>
    <w:multiLevelType w:val="multilevel"/>
    <w:tmpl w:val="F050A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3073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C00"/>
    <w:rsid w:val="0010524C"/>
    <w:rsid w:val="00117218"/>
    <w:rsid w:val="00185C00"/>
    <w:rsid w:val="001D5A1F"/>
    <w:rsid w:val="003259F0"/>
    <w:rsid w:val="0096054D"/>
    <w:rsid w:val="00963C0C"/>
    <w:rsid w:val="00A646F7"/>
    <w:rsid w:val="00BA1930"/>
    <w:rsid w:val="00CA5906"/>
    <w:rsid w:val="00DE7C65"/>
    <w:rsid w:val="00E94C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F680A"/>
  <w15:chartTrackingRefBased/>
  <w15:docId w15:val="{128B76DD-C8B2-43C2-808D-1E661674B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85C0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unhideWhenUsed/>
    <w:qFormat/>
    <w:rsid w:val="00185C0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185C00"/>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185C00"/>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185C00"/>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185C00"/>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85C00"/>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85C00"/>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85C00"/>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85C00"/>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rsid w:val="00185C00"/>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185C00"/>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185C00"/>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185C00"/>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185C00"/>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85C00"/>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85C00"/>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85C00"/>
    <w:rPr>
      <w:rFonts w:eastAsiaTheme="majorEastAsia" w:cstheme="majorBidi"/>
      <w:color w:val="272727" w:themeColor="text1" w:themeTint="D8"/>
    </w:rPr>
  </w:style>
  <w:style w:type="paragraph" w:styleId="Tytu">
    <w:name w:val="Title"/>
    <w:basedOn w:val="Normalny"/>
    <w:next w:val="Normalny"/>
    <w:link w:val="TytuZnak"/>
    <w:uiPriority w:val="10"/>
    <w:qFormat/>
    <w:rsid w:val="00185C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185C00"/>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185C00"/>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185C00"/>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85C00"/>
    <w:pPr>
      <w:spacing w:before="160"/>
      <w:jc w:val="center"/>
    </w:pPr>
    <w:rPr>
      <w:i/>
      <w:iCs/>
      <w:color w:val="404040" w:themeColor="text1" w:themeTint="BF"/>
    </w:rPr>
  </w:style>
  <w:style w:type="character" w:customStyle="1" w:styleId="CytatZnak">
    <w:name w:val="Cytat Znak"/>
    <w:basedOn w:val="Domylnaczcionkaakapitu"/>
    <w:link w:val="Cytat"/>
    <w:uiPriority w:val="29"/>
    <w:rsid w:val="00185C00"/>
    <w:rPr>
      <w:i/>
      <w:iCs/>
      <w:color w:val="404040" w:themeColor="text1" w:themeTint="BF"/>
    </w:rPr>
  </w:style>
  <w:style w:type="paragraph" w:styleId="Akapitzlist">
    <w:name w:val="List Paragraph"/>
    <w:basedOn w:val="Normalny"/>
    <w:uiPriority w:val="34"/>
    <w:qFormat/>
    <w:rsid w:val="00185C00"/>
    <w:pPr>
      <w:ind w:left="720"/>
      <w:contextualSpacing/>
    </w:pPr>
  </w:style>
  <w:style w:type="character" w:styleId="Wyrnienieintensywne">
    <w:name w:val="Intense Emphasis"/>
    <w:basedOn w:val="Domylnaczcionkaakapitu"/>
    <w:uiPriority w:val="21"/>
    <w:qFormat/>
    <w:rsid w:val="00185C00"/>
    <w:rPr>
      <w:i/>
      <w:iCs/>
      <w:color w:val="2F5496" w:themeColor="accent1" w:themeShade="BF"/>
    </w:rPr>
  </w:style>
  <w:style w:type="paragraph" w:styleId="Cytatintensywny">
    <w:name w:val="Intense Quote"/>
    <w:basedOn w:val="Normalny"/>
    <w:next w:val="Normalny"/>
    <w:link w:val="CytatintensywnyZnak"/>
    <w:uiPriority w:val="30"/>
    <w:qFormat/>
    <w:rsid w:val="00185C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185C00"/>
    <w:rPr>
      <w:i/>
      <w:iCs/>
      <w:color w:val="2F5496" w:themeColor="accent1" w:themeShade="BF"/>
    </w:rPr>
  </w:style>
  <w:style w:type="character" w:styleId="Odwoanieintensywne">
    <w:name w:val="Intense Reference"/>
    <w:basedOn w:val="Domylnaczcionkaakapitu"/>
    <w:uiPriority w:val="32"/>
    <w:qFormat/>
    <w:rsid w:val="00185C00"/>
    <w:rPr>
      <w:b/>
      <w:bCs/>
      <w:smallCaps/>
      <w:color w:val="2F5496" w:themeColor="accent1" w:themeShade="BF"/>
      <w:spacing w:val="5"/>
    </w:rPr>
  </w:style>
  <w:style w:type="table" w:styleId="Tabela-Siatka">
    <w:name w:val="Table Grid"/>
    <w:basedOn w:val="Standardowy"/>
    <w:uiPriority w:val="39"/>
    <w:rsid w:val="00E94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v.pl/web/klimat/system-kaucyjny-oznakowanie" TargetMode="External"/><Relationship Id="rId14"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6</Pages>
  <Words>355</Words>
  <Characters>2134</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Środowisko</dc:creator>
  <cp:keywords/>
  <dc:description/>
  <cp:lastModifiedBy>Środowisko</cp:lastModifiedBy>
  <cp:revision>3</cp:revision>
  <dcterms:created xsi:type="dcterms:W3CDTF">2025-08-13T05:55:00Z</dcterms:created>
  <dcterms:modified xsi:type="dcterms:W3CDTF">2025-08-13T06:52:00Z</dcterms:modified>
</cp:coreProperties>
</file>